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F0C4" w14:textId="4473BACD" w:rsidR="00CF5235" w:rsidRDefault="00CF5235" w:rsidP="005804C6">
      <w:pPr>
        <w:pStyle w:val="a5"/>
        <w:spacing w:after="60"/>
        <w:jc w:val="center"/>
        <w:rPr>
          <w:b/>
          <w:sz w:val="28"/>
          <w:szCs w:val="28"/>
        </w:rPr>
      </w:pPr>
      <w:r w:rsidRPr="005804C6">
        <w:rPr>
          <w:b/>
          <w:sz w:val="28"/>
          <w:szCs w:val="28"/>
        </w:rPr>
        <w:t xml:space="preserve">Указания по заполнению формы </w:t>
      </w:r>
      <w:r w:rsidR="004A2179" w:rsidRPr="005804C6">
        <w:rPr>
          <w:b/>
          <w:sz w:val="28"/>
          <w:szCs w:val="28"/>
        </w:rPr>
        <w:t xml:space="preserve">№ 3-фермер «Сведения </w:t>
      </w:r>
      <w:r w:rsidR="004A2179" w:rsidRPr="005804C6">
        <w:rPr>
          <w:b/>
          <w:sz w:val="28"/>
          <w:szCs w:val="28"/>
        </w:rPr>
        <w:br/>
        <w:t>о производстве продукции животноводства и поголовье скота»</w:t>
      </w:r>
      <w:r w:rsidR="007F6EA7" w:rsidRPr="005804C6">
        <w:rPr>
          <w:b/>
          <w:sz w:val="28"/>
          <w:szCs w:val="28"/>
        </w:rPr>
        <w:t xml:space="preserve"> (КФХ и ИП, микропредприятия)</w:t>
      </w:r>
    </w:p>
    <w:p w14:paraId="64EAB833" w14:textId="77777777" w:rsidR="005804C6" w:rsidRPr="005804C6" w:rsidRDefault="005804C6" w:rsidP="005804C6">
      <w:pPr>
        <w:jc w:val="center"/>
      </w:pPr>
    </w:p>
    <w:p w14:paraId="559968DE" w14:textId="77777777" w:rsidR="005670CC" w:rsidRDefault="005670CC" w:rsidP="005670CC">
      <w:pPr>
        <w:spacing w:before="60" w:after="6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Консультацию по заполнению отчетности можно получить</w:t>
      </w:r>
    </w:p>
    <w:tbl>
      <w:tblPr>
        <w:tblW w:w="36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3828"/>
        <w:gridCol w:w="3542"/>
      </w:tblGrid>
      <w:tr w:rsidR="005670CC" w14:paraId="49122822" w14:textId="77777777" w:rsidTr="005804C6">
        <w:trPr>
          <w:jc w:val="center"/>
        </w:trPr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F3D2" w14:textId="77777777" w:rsidR="005670CC" w:rsidRDefault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Наименование</w:t>
            </w:r>
          </w:p>
        </w:tc>
        <w:tc>
          <w:tcPr>
            <w:tcW w:w="1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EC40F" w14:textId="77777777" w:rsidR="005670CC" w:rsidRDefault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Исполнитель (Ф.И.О.)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6E8E" w14:textId="77777777" w:rsidR="005670CC" w:rsidRDefault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Контактный телефон</w:t>
            </w:r>
          </w:p>
        </w:tc>
      </w:tr>
      <w:tr w:rsidR="005670CC" w14:paraId="31C1E4F9" w14:textId="77777777" w:rsidTr="005804C6">
        <w:trPr>
          <w:jc w:val="center"/>
        </w:trPr>
        <w:tc>
          <w:tcPr>
            <w:tcW w:w="1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856E" w14:textId="77777777" w:rsidR="005670CC" w:rsidRDefault="005670CC" w:rsidP="005670CC">
            <w:pPr>
              <w:spacing w:line="256" w:lineRule="auto"/>
              <w:ind w:firstLine="26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Краснодарский край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A813" w14:textId="387E50EB" w:rsidR="005670CC" w:rsidRDefault="005670CC" w:rsidP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C60506">
              <w:rPr>
                <w:szCs w:val="24"/>
              </w:rPr>
              <w:t>Исаева Н</w:t>
            </w:r>
            <w:r>
              <w:rPr>
                <w:szCs w:val="24"/>
              </w:rPr>
              <w:t>.</w:t>
            </w:r>
            <w:r w:rsidRPr="00C60506">
              <w:rPr>
                <w:szCs w:val="24"/>
              </w:rPr>
              <w:t xml:space="preserve"> В.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B5F2" w14:textId="0F95D28F" w:rsidR="005670CC" w:rsidRDefault="005670CC" w:rsidP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C60506">
              <w:rPr>
                <w:szCs w:val="24"/>
              </w:rPr>
              <w:t>8-861-262-30-29</w:t>
            </w:r>
          </w:p>
        </w:tc>
      </w:tr>
      <w:tr w:rsidR="005670CC" w14:paraId="3700A4E4" w14:textId="77777777" w:rsidTr="005804C6">
        <w:trPr>
          <w:jc w:val="center"/>
        </w:trPr>
        <w:tc>
          <w:tcPr>
            <w:tcW w:w="1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F90C" w14:textId="77777777" w:rsidR="005670CC" w:rsidRDefault="005670CC" w:rsidP="005670CC">
            <w:pPr>
              <w:spacing w:line="256" w:lineRule="auto"/>
              <w:ind w:firstLine="26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Республика Адыгея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4456" w14:textId="11849EB3" w:rsidR="005670CC" w:rsidRDefault="005670CC" w:rsidP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 w:rsidRPr="00212087">
              <w:rPr>
                <w:szCs w:val="24"/>
              </w:rPr>
              <w:t>Дружинина Л.С.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5E32" w14:textId="62D271C7" w:rsidR="005670CC" w:rsidRDefault="005670CC" w:rsidP="005670CC">
            <w:pPr>
              <w:spacing w:line="256" w:lineRule="auto"/>
              <w:jc w:val="center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szCs w:val="24"/>
              </w:rPr>
              <w:t>8-877-252-66-65</w:t>
            </w:r>
          </w:p>
        </w:tc>
      </w:tr>
    </w:tbl>
    <w:p w14:paraId="14464918" w14:textId="77777777" w:rsidR="007F6EA7" w:rsidRPr="007F6EA7" w:rsidRDefault="007F6EA7" w:rsidP="007F6EA7">
      <w:pPr>
        <w:ind w:firstLine="709"/>
        <w:jc w:val="both"/>
        <w:rPr>
          <w:szCs w:val="24"/>
        </w:rPr>
      </w:pPr>
      <w:r w:rsidRPr="007F6EA7">
        <w:rPr>
          <w:szCs w:val="24"/>
        </w:rPr>
        <w:t xml:space="preserve">Управление Федеральной службы государственной статистики </w:t>
      </w:r>
      <w:r w:rsidRPr="007F6EA7">
        <w:rPr>
          <w:szCs w:val="24"/>
        </w:rPr>
        <w:br/>
        <w:t xml:space="preserve">по Краснодарскому краю и Республике Адыгея в 2025 году проводит федеральное статистическое наблюдение по форме </w:t>
      </w:r>
      <w:r w:rsidRPr="007F6EA7">
        <w:rPr>
          <w:bCs/>
          <w:szCs w:val="24"/>
        </w:rPr>
        <w:t>№ 3-фермер</w:t>
      </w:r>
      <w:r>
        <w:rPr>
          <w:bCs/>
          <w:szCs w:val="24"/>
        </w:rPr>
        <w:t xml:space="preserve"> (годовая)</w:t>
      </w:r>
      <w:r w:rsidRPr="007F6EA7">
        <w:rPr>
          <w:bCs/>
          <w:szCs w:val="24"/>
        </w:rPr>
        <w:t xml:space="preserve"> «Сведения </w:t>
      </w:r>
      <w:r w:rsidRPr="007F6EA7">
        <w:rPr>
          <w:bCs/>
          <w:szCs w:val="24"/>
        </w:rPr>
        <w:br/>
        <w:t>о производстве продукции животноводства и поголовье скота»,</w:t>
      </w:r>
      <w:r w:rsidRPr="007F6EA7">
        <w:rPr>
          <w:szCs w:val="24"/>
        </w:rPr>
        <w:t xml:space="preserve"> утвержденной приказом Росстата от 31.07.2023 года № 369.</w:t>
      </w:r>
      <w:r>
        <w:rPr>
          <w:szCs w:val="24"/>
        </w:rPr>
        <w:t xml:space="preserve"> </w:t>
      </w:r>
    </w:p>
    <w:p w14:paraId="676EDF6E" w14:textId="77777777" w:rsidR="00CF5235" w:rsidRDefault="00CF5235" w:rsidP="00CF5235">
      <w:pPr>
        <w:pStyle w:val="2"/>
        <w:keepNext/>
        <w:rPr>
          <w:b/>
        </w:rPr>
      </w:pPr>
      <w:r>
        <w:rPr>
          <w:b/>
        </w:rPr>
        <w:t>В разделе 1:</w:t>
      </w:r>
    </w:p>
    <w:p w14:paraId="237E6444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В производство скота и птицы на убой (в живом весе) (строка 01) следует включить всю продажу на мясо, а также потребление в своем хозяйстве забитого крупного рогатого скота, свиней, овец, коз, кроликов, лошадей, птицы (включая страусов и фазанов), верблюдов, оленей. Продажа молодняка скота и птицы для дальнейшего выращивания в этот показатель не включается.</w:t>
      </w:r>
    </w:p>
    <w:p w14:paraId="42D94E5C" w14:textId="77777777" w:rsidR="007F6EA7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В производство молока от всех видов животных (строка 08) включается все фактически надоенное молоко (в физическом весе) от коров, буйволиц, козоматок, овцематок, кобыл, включая молоко, израсходованное на выпойку молодняка. Молоко, высосанное</w:t>
      </w:r>
      <w:r w:rsidR="007F6EA7">
        <w:rPr>
          <w:szCs w:val="24"/>
        </w:rPr>
        <w:t xml:space="preserve"> </w:t>
      </w:r>
      <w:r>
        <w:rPr>
          <w:szCs w:val="24"/>
        </w:rPr>
        <w:t>молодняком при его подсосном содержании, в объем производства не включается.</w:t>
      </w:r>
    </w:p>
    <w:p w14:paraId="259FE81B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09 показывается молоко, надоенное от всех коров молочного и мясного стада, яловых коров, коров на откорме и нагуле, растелившихся телок, буйволиц, яков-коров, имевшихся на начало отчетного периода и поступивших в течение этого периода.</w:t>
      </w:r>
    </w:p>
    <w:p w14:paraId="02980EA2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10 показывается молоко, надоенное от коров молочного стада </w:t>
      </w:r>
      <w:r w:rsidR="003D7613">
        <w:rPr>
          <w:szCs w:val="24"/>
        </w:rPr>
        <w:t>и</w:t>
      </w:r>
      <w:r>
        <w:rPr>
          <w:szCs w:val="24"/>
        </w:rPr>
        <w:t xml:space="preserve"> от коров-первотелок за время оценки их фактической продуктивности, но не позднее 3-х месяцев после отела. </w:t>
      </w:r>
    </w:p>
    <w:p w14:paraId="1E760085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11 записывается вид продукции, соответствующий код ОКПД2 и объем надоенного молока: молоко сырое кобылы </w:t>
      </w:r>
      <w:r>
        <w:rPr>
          <w:szCs w:val="24"/>
        </w:rPr>
        <w:br/>
        <w:t>(код ОКПД2 – 01.49.22.120), молоко сырое овечье (код ОКПД2 – 01.45.21), молоко сырое козье (код ОКПД2 – 01.45.22), молоко сырое верблюжье (код ОКПД2 – 01.49.22.110).</w:t>
      </w:r>
    </w:p>
    <w:p w14:paraId="2FFEB37B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12 показывается все количество яиц, полученных в хозяйстве за отчетный период от всех видов птицы (например, кур, уток, гусынь, индеек, цесарок), принадлежащих хозяйству, включая потери яиц (например, бой, порча) и яйца, израсходованные на вывод молодняка наседками или в инкубаторе.</w:t>
      </w:r>
    </w:p>
    <w:p w14:paraId="593832E6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13 указывается количество куриных яиц, полученных от кур-несушек, принадлежащих хозяйству. В эту строку не включаются яйца, купленные или полученные со стороны для инкубации и других целей.</w:t>
      </w:r>
    </w:p>
    <w:p w14:paraId="5C058AC1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В строку 14 включается вся фактически настриженная шерсть с овец, волос (тонкий и грубый) коз, верблюдов, включая шерсть и волос, использованные на внутрихозяйственные нужды, а также потери полученных шерсти и волоса при хранении и транспортировке. </w:t>
      </w:r>
    </w:p>
    <w:p w14:paraId="5BA8E8DA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16 показывается фактическое количество меда натурального пчелиного, вынутого из ульев.</w:t>
      </w:r>
    </w:p>
    <w:p w14:paraId="79F9CBC2" w14:textId="77777777" w:rsidR="00CF5235" w:rsidRDefault="00CF5235" w:rsidP="00CF5235">
      <w:pPr>
        <w:pStyle w:val="2"/>
        <w:keepNext/>
        <w:rPr>
          <w:b/>
        </w:rPr>
      </w:pPr>
      <w:r>
        <w:rPr>
          <w:b/>
        </w:rPr>
        <w:lastRenderedPageBreak/>
        <w:t>В разделе 2:</w:t>
      </w:r>
    </w:p>
    <w:p w14:paraId="7F0AC623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В строках 21 – 40 показывается фактическое поголовье сельскохозяйственных животных, имевшееся в хозяйстве на конец отчетного периода, независимо от того, где находится этот скот (в животноводческих помещениях, в отгоне на пастбищах и так далее).</w:t>
      </w:r>
    </w:p>
    <w:p w14:paraId="5B6025DF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21 показывается наличие всего поголовья крупного рогатого скота, включая поголовье буйволов и яков.</w:t>
      </w:r>
    </w:p>
    <w:p w14:paraId="1299D147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22 к числу коров (буйволиц, коров-яков) необходимо относить всех коров молочного и мясного направления основного стада, сухостойных и яловых коров, коров-кормилиц. В поголовье коров не включают коров, переведенных на откорм и нагул.</w:t>
      </w:r>
    </w:p>
    <w:p w14:paraId="31FE4E89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23 в том числе записывается поголовье коров молочного стада, по строке 24 – среднегодовое поголовье молочных коров.</w:t>
      </w:r>
    </w:p>
    <w:p w14:paraId="0417AB06" w14:textId="77777777" w:rsidR="00CF5235" w:rsidRDefault="003D7613" w:rsidP="00CF5235"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t>С</w:t>
      </w:r>
      <w:r w:rsidR="00CF5235">
        <w:rPr>
          <w:szCs w:val="24"/>
        </w:rPr>
        <w:t>реднегодовое поголовье исчисл</w:t>
      </w:r>
      <w:r>
        <w:rPr>
          <w:szCs w:val="24"/>
        </w:rPr>
        <w:t>яется</w:t>
      </w:r>
      <w:r w:rsidR="00CF5235">
        <w:rPr>
          <w:szCs w:val="24"/>
        </w:rPr>
        <w:t xml:space="preserve"> как среднее арифметическое </w:t>
      </w:r>
      <w:r w:rsidR="00CF5235">
        <w:rPr>
          <w:szCs w:val="24"/>
        </w:rPr>
        <w:br/>
        <w:t>на начало и конец года</w:t>
      </w:r>
      <w:r>
        <w:rPr>
          <w:szCs w:val="24"/>
        </w:rPr>
        <w:t xml:space="preserve"> (поголовье на начало года</w:t>
      </w:r>
      <w:r w:rsidR="00CF5235">
        <w:rPr>
          <w:szCs w:val="24"/>
        </w:rPr>
        <w:t>.</w:t>
      </w:r>
      <w:r>
        <w:rPr>
          <w:szCs w:val="24"/>
        </w:rPr>
        <w:t xml:space="preserve"> + поголовье на конец года) /2.</w:t>
      </w:r>
    </w:p>
    <w:p w14:paraId="1B08C313" w14:textId="77777777" w:rsidR="00CF5235" w:rsidRDefault="00CF5235" w:rsidP="00CF5235">
      <w:pPr>
        <w:ind w:firstLine="709"/>
        <w:jc w:val="both"/>
        <w:rPr>
          <w:szCs w:val="24"/>
        </w:rPr>
      </w:pPr>
      <w:r>
        <w:t xml:space="preserve">По строкам 26 </w:t>
      </w:r>
      <w:r>
        <w:rPr>
          <w:szCs w:val="24"/>
        </w:rPr>
        <w:t xml:space="preserve">– </w:t>
      </w:r>
      <w:r>
        <w:t>40, 43</w:t>
      </w:r>
      <w:r>
        <w:rPr>
          <w:szCs w:val="24"/>
        </w:rPr>
        <w:t xml:space="preserve"> показываются свиньи, овцы, козы, лошади, птица, северные олени, верблюды, кролики, ослы, мулы и лошаки, олени-маралы всех возрастов (взрослые и молодняк).</w:t>
      </w:r>
    </w:p>
    <w:p w14:paraId="3A3064BA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27 приводится все поголовье овцематок и ярок старше 1 года. К ним относят маток, окотившихся (давших приплод) один </w:t>
      </w:r>
      <w:r>
        <w:rPr>
          <w:szCs w:val="24"/>
        </w:rPr>
        <w:br/>
        <w:t>или несколько раз, а также ярок старше 1 года (овцы, ни разу не дававшие приплод, хотя бы и слученные или искусственно осемененные).</w:t>
      </w:r>
    </w:p>
    <w:p w14:paraId="6D950F94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29 показываются козоматки и козочки старше 1 года. В их число включаются матки, окотившиеся один или несколько раз, </w:t>
      </w:r>
      <w:r>
        <w:rPr>
          <w:szCs w:val="24"/>
        </w:rPr>
        <w:br/>
        <w:t>а также козочки старше 1 года (козы, ни разу не дававшие приплод, хотя бы и слученные или искусственно осемененные).</w:t>
      </w:r>
    </w:p>
    <w:p w14:paraId="0A83A312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33.1 приводится поголовье взрослых кур (без петухов) независимо от того, получают ли от этих кур яйца в данное время </w:t>
      </w:r>
      <w:r>
        <w:rPr>
          <w:szCs w:val="24"/>
        </w:rPr>
        <w:br/>
        <w:t>или нет.</w:t>
      </w:r>
    </w:p>
    <w:p w14:paraId="77139837" w14:textId="77777777" w:rsidR="00CF5235" w:rsidRDefault="00CF5235" w:rsidP="00CF5235">
      <w:pPr>
        <w:ind w:firstLine="709"/>
        <w:jc w:val="both"/>
        <w:rPr>
          <w:szCs w:val="24"/>
        </w:rPr>
      </w:pPr>
      <w:r>
        <w:t xml:space="preserve">По строке 33.2 отражается поголовье индеек, по строке 33.3 – поголовье гусей, по строке 33.4 </w:t>
      </w:r>
      <w:r>
        <w:sym w:font="Symbol" w:char="F02D"/>
      </w:r>
      <w:r>
        <w:t xml:space="preserve"> поголовье других видов птицы (уток, цесарок, перепелок, страусов, фазанов и других).</w:t>
      </w:r>
    </w:p>
    <w:p w14:paraId="45C37C67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37 записывается поголовье кроликоматок, к которому относятся все окролившиеся самки, а также сукрольные самки, включая сукрольных самок, от которых будет получен окрол впервые.</w:t>
      </w:r>
    </w:p>
    <w:p w14:paraId="77885029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Если в хозяйстве занимаются разведением пчел, то в строку 38 следует вписать имеющееся количество пчелосемей, размещающихся </w:t>
      </w:r>
      <w:r>
        <w:rPr>
          <w:szCs w:val="24"/>
        </w:rPr>
        <w:br/>
        <w:t>в отдельных ульях.</w:t>
      </w:r>
    </w:p>
    <w:p w14:paraId="43781F71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строкам 41 – 42 из общего поголовья лошадей выделяется количество мясных табунных лошадей, из них кобыл. К ним следует относить лошадей алтайской, башкирской, бурятской, казахской, кушумской, тувинской, якутской и других местных пород мясных табунных лошадей и их помесей с заводскими породами, выращиваемых для забоя на мясо.</w:t>
      </w:r>
    </w:p>
    <w:p w14:paraId="026DD2A0" w14:textId="77777777" w:rsidR="005804C6" w:rsidRDefault="005804C6" w:rsidP="00CF5235">
      <w:pPr>
        <w:ind w:firstLine="709"/>
        <w:jc w:val="both"/>
        <w:rPr>
          <w:b/>
        </w:rPr>
      </w:pPr>
    </w:p>
    <w:p w14:paraId="13D2C449" w14:textId="77777777" w:rsidR="005804C6" w:rsidRDefault="005804C6" w:rsidP="00CF5235">
      <w:pPr>
        <w:ind w:firstLine="709"/>
        <w:jc w:val="both"/>
        <w:rPr>
          <w:b/>
        </w:rPr>
      </w:pPr>
    </w:p>
    <w:p w14:paraId="5E952781" w14:textId="77777777" w:rsidR="005804C6" w:rsidRDefault="005804C6" w:rsidP="00CF5235">
      <w:pPr>
        <w:ind w:firstLine="709"/>
        <w:jc w:val="both"/>
        <w:rPr>
          <w:b/>
        </w:rPr>
      </w:pPr>
    </w:p>
    <w:p w14:paraId="35F5072D" w14:textId="77777777" w:rsidR="005804C6" w:rsidRDefault="005804C6" w:rsidP="00CF5235">
      <w:pPr>
        <w:ind w:firstLine="709"/>
        <w:jc w:val="both"/>
        <w:rPr>
          <w:b/>
        </w:rPr>
      </w:pPr>
    </w:p>
    <w:p w14:paraId="725B1747" w14:textId="1B195595" w:rsidR="00CF5235" w:rsidRDefault="00CF5235" w:rsidP="00CF5235">
      <w:pPr>
        <w:ind w:firstLine="709"/>
        <w:jc w:val="both"/>
        <w:rPr>
          <w:b/>
        </w:rPr>
      </w:pPr>
      <w:r>
        <w:rPr>
          <w:b/>
        </w:rPr>
        <w:t>В разделе 3:</w:t>
      </w:r>
    </w:p>
    <w:p w14:paraId="2B98E7D8" w14:textId="77777777" w:rsidR="00CF5235" w:rsidRDefault="00CF5235" w:rsidP="00CF5235">
      <w:pPr>
        <w:pStyle w:val="Tex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По строке 44 в соответствующих графах записываются все телята, поросята, ягнята и козлята, молодняк птицы, родившиеся живыми </w:t>
      </w:r>
      <w:r>
        <w:rPr>
          <w:rFonts w:eastAsia="Times New Roman"/>
          <w:szCs w:val="24"/>
        </w:rPr>
        <w:br/>
        <w:t>от маток, принадлежащих хозяйству.</w:t>
      </w:r>
    </w:p>
    <w:p w14:paraId="2403166C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Наряду с общим количеством родившихся телят, поросят (указанных по строке 44) по строке 45 показывается количество телят, полученных только от коров, поросят – от основных свиноматок.</w:t>
      </w:r>
    </w:p>
    <w:p w14:paraId="257FF59E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46 отражаются все фактически павшие и погибшие за отчетный период животные (от пожаров, стихийных бедствий и тому подобного), независимо от возраста, включая павший и погибший молодняк рождения текущего года, а также павшие скот и птица из числа приобретенных со стороны.</w:t>
      </w:r>
    </w:p>
    <w:p w14:paraId="38FE73B5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В эту строку включаются также вынужденно забитые скот и птица, мясо которых не было использовано в пищу или использовано только </w:t>
      </w:r>
      <w:r>
        <w:rPr>
          <w:szCs w:val="24"/>
        </w:rPr>
        <w:br/>
        <w:t>на корм скоту, а также живые скот и птица, проданные специально для использования их как утиль.</w:t>
      </w:r>
    </w:p>
    <w:p w14:paraId="14A9C145" w14:textId="77777777" w:rsidR="00CF5235" w:rsidRDefault="00CF5235" w:rsidP="00CF5235">
      <w:pPr>
        <w:ind w:firstLine="709"/>
        <w:jc w:val="both"/>
      </w:pPr>
      <w:r>
        <w:t>По строке 47 отражаются весь забитый скот и птица независимо от того, были ли скот и птица забиты непосредственно в организации (хозяйстве) или проданы для убоя.</w:t>
      </w:r>
    </w:p>
    <w:p w14:paraId="4F6837BA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48 записывается количество голов скота и птицы, купленных организацией (хозяйством) у крестьянских (фермерских) хозяйств, индивидуальных предпринимателей, населения, других организаций, поступивших от своих работников в порядке возмещения </w:t>
      </w:r>
      <w:r>
        <w:rPr>
          <w:szCs w:val="24"/>
        </w:rPr>
        <w:br/>
        <w:t>за павший, погибший или пропавший по их вине общественный скот и птицу.</w:t>
      </w:r>
    </w:p>
    <w:p w14:paraId="6C2EB53B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49 приводится поголовье скота и птицы, выданного безвозмездно членам своего хозяйства в порядке дополнительной оплаты труда, а также скот и птица, выданные в порядке помощи отдельным членам хозяйства, проданные на рынке скот и птица, годные для дальнейшего воспроизводства. Здесь также учитывается скот и птица, проданные и переданные крестьянским (фермерским) хозяйствам и индивидуальным предпринимателям, другим организациям, населению. </w:t>
      </w:r>
    </w:p>
    <w:p w14:paraId="56EB9065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В строках 50 – 61 приводятся данные о реализации продукции животноводства собственного производства как на своей территории, </w:t>
      </w:r>
      <w:r>
        <w:rPr>
          <w:szCs w:val="24"/>
        </w:rPr>
        <w:br/>
        <w:t>так и за ее пределами, по всем каналам сбыта: перерабатывающим организациям и организациям оптовой торговли (консервные заводы, мясокомбинаты, молокозаводы, маслобойни, сепараторные пункты, перерабатывающие подразделения сельхозорганизаций), потребительской кооперации, на рынке; учитывается также продукция, подаренная, отданная в оплату за услуги, в оплату труда наемным работникам.</w:t>
      </w:r>
    </w:p>
    <w:p w14:paraId="260F4530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При заполнении данных по отдельным продуктам также учитывается сельхозсырье собственного производства, израсходованное </w:t>
      </w:r>
      <w:r>
        <w:rPr>
          <w:szCs w:val="24"/>
        </w:rPr>
        <w:br/>
        <w:t>на производство реализованных продуктов переработки (например, масло, творог).</w:t>
      </w:r>
    </w:p>
    <w:p w14:paraId="1F1D7823" w14:textId="77777777" w:rsidR="005804C6" w:rsidRDefault="005804C6" w:rsidP="00CF5235">
      <w:pPr>
        <w:pStyle w:val="2"/>
        <w:keepNext/>
        <w:rPr>
          <w:b/>
        </w:rPr>
      </w:pPr>
    </w:p>
    <w:p w14:paraId="32DE1BC1" w14:textId="143F6FBE" w:rsidR="00CF5235" w:rsidRDefault="00CF5235" w:rsidP="00CF5235">
      <w:pPr>
        <w:pStyle w:val="2"/>
        <w:keepNext/>
        <w:rPr>
          <w:b/>
        </w:rPr>
      </w:pPr>
      <w:r>
        <w:rPr>
          <w:b/>
        </w:rPr>
        <w:t>В разделе 4:</w:t>
      </w:r>
    </w:p>
    <w:p w14:paraId="0DDB8260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В объем реализации по строкам 50 – 55 не включаются:</w:t>
      </w:r>
    </w:p>
    <w:p w14:paraId="39254663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скот, переданный населению по договорам или другой сельхозорганизации для доращивания с последующим возвратом выращенного скота в хозяйство;</w:t>
      </w:r>
    </w:p>
    <w:p w14:paraId="660A0F91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молодняк скота до 6-ти месяцев, суточные цыплята, молочные поросята (до 2-х месяцев), проданные населению (для дальнейшего выращивания без последующего возврата), выданные в счет оплаты труда.</w:t>
      </w:r>
    </w:p>
    <w:p w14:paraId="2B041215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56 указывается продажа молока и молочных продуктов в пересчете на молоко установленной жирности. Молоко, отгруженное потребителям для государственных или муниципальных нужд, а также перерабатывающим организациям с выпиской приемных квитанций указывается в зачетном весе, то есть с учетом надбавок или скидок за отклонение качества продукции от установленных стандартов; по остальным каналам сбыта – в физическом весе.</w:t>
      </w:r>
    </w:p>
    <w:p w14:paraId="56367264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Молоко, купленное у населения по договорам, включается в общий объем отгруженной продукции.</w:t>
      </w:r>
    </w:p>
    <w:p w14:paraId="01CF3A1A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По строке 57 показывается продажа пищевых яиц всех видов птицы (куры, утки, гуси, индейки, цесарки, перепелки) и яйцепродуктов </w:t>
      </w:r>
      <w:r>
        <w:rPr>
          <w:szCs w:val="24"/>
        </w:rPr>
        <w:br/>
        <w:t>в переводе на яйца. Количество яиц, проданных другим сельхозпроизводителям для инкубации, в отчете не отражается.</w:t>
      </w:r>
    </w:p>
    <w:p w14:paraId="05F4ADC6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По строке 58 показывается реализация шерсти всех видов скота собственного производства.</w:t>
      </w:r>
    </w:p>
    <w:p w14:paraId="16BB2C7F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В строке 60 и свободных строках раздела записывается вид продукции, соответствующий код ОКПД2 и объем реализации продукции животноводства, указанной ниже в таблице.</w:t>
      </w:r>
    </w:p>
    <w:p w14:paraId="25A6CB03" w14:textId="77777777" w:rsidR="00CF5235" w:rsidRDefault="00CF5235" w:rsidP="00CF5235">
      <w:pPr>
        <w:ind w:firstLine="709"/>
        <w:jc w:val="both"/>
        <w:rPr>
          <w:szCs w:val="24"/>
        </w:rPr>
      </w:pPr>
    </w:p>
    <w:p w14:paraId="0AC6F63E" w14:textId="77777777" w:rsidR="00CF5235" w:rsidRDefault="00CF5235" w:rsidP="00CF5235">
      <w:pPr>
        <w:ind w:firstLine="709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1849"/>
        <w:gridCol w:w="4078"/>
        <w:gridCol w:w="2440"/>
      </w:tblGrid>
      <w:tr w:rsidR="00CF5235" w14:paraId="2E841EED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5093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E166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Код ОКПД2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48D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Краткое наименование </w:t>
            </w:r>
            <w:r>
              <w:rPr>
                <w:szCs w:val="24"/>
              </w:rPr>
              <w:br/>
              <w:t>(допустимая запись)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40AE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Единицы измерения </w:t>
            </w:r>
            <w:r>
              <w:rPr>
                <w:szCs w:val="24"/>
              </w:rPr>
              <w:br/>
              <w:t>и значность заполнения</w:t>
            </w:r>
          </w:p>
        </w:tc>
      </w:tr>
      <w:tr w:rsidR="00CF5235" w14:paraId="1EA95DDD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5D0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Лошади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FCA1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01.43.10.002.АГ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B94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Лошади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45C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ц (0,0)</w:t>
            </w:r>
          </w:p>
        </w:tc>
      </w:tr>
      <w:tr w:rsidR="00CF5235" w14:paraId="66F3F8BF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A2DA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Прочие виды скота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E8B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01.43.44.001.АГ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B32B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Прочие виды скота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6F4E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ц (0,0)</w:t>
            </w:r>
          </w:p>
        </w:tc>
      </w:tr>
      <w:tr w:rsidR="00CF5235" w14:paraId="1822F13D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A96E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Пчелы медоносные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2A5F9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01.49.19.471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6001A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Пчелы медоносные (семьи)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E933A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</w:p>
        </w:tc>
      </w:tr>
      <w:tr w:rsidR="00CF5235" w14:paraId="6922AB8D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6A7C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Улитки, кроме морских улиток (липариса)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AC8CD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01.49.23.110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62B53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Улитки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8FA9A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ц (0,0)</w:t>
            </w:r>
          </w:p>
        </w:tc>
      </w:tr>
      <w:tr w:rsidR="00CF5235" w14:paraId="2D68F73D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69B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Перга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D836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01.49.24.130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6BDB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Перга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C7B0A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кг (0,0)</w:t>
            </w:r>
          </w:p>
        </w:tc>
      </w:tr>
      <w:tr w:rsidR="00CF5235" w14:paraId="792F8C9D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B960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Молочко маточное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16607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01.49.24.150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3DF53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Молочко маточное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B699E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кг (0,0)</w:t>
            </w:r>
          </w:p>
        </w:tc>
      </w:tr>
      <w:tr w:rsidR="00CF5235" w14:paraId="46DEEAF6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6869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Прополис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C43E9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01.49.24.170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0B39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Прополис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971C9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кг (0,0)</w:t>
            </w:r>
          </w:p>
        </w:tc>
      </w:tr>
      <w:tr w:rsidR="00CF5235" w14:paraId="6ECEF231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A905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Сырье пушно-меховое (невыделанные шкурки), кроме шкурок смушковых ягнят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913DD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01.49.31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BC040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Сырье пушно-меховое, кроме шкурок смушковых ягнят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B5594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тыс шт (целые)</w:t>
            </w:r>
          </w:p>
        </w:tc>
      </w:tr>
      <w:tr w:rsidR="00CF5235" w14:paraId="13CF34EF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436E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Шкурки смушковых ягнят невыделанные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8FBA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01.49.32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FB853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Шкурки смушковых ягнят невыделанные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F1540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тыс шт (целые)</w:t>
            </w:r>
          </w:p>
        </w:tc>
      </w:tr>
      <w:tr w:rsidR="00CF5235" w14:paraId="69BA1FCA" w14:textId="77777777" w:rsidTr="00CF52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71E5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 xml:space="preserve">Шкуры животных невыделанные, не включенные в другие группировки (шкурки сырые или законсервированные, </w:t>
            </w:r>
            <w:r>
              <w:rPr>
                <w:szCs w:val="24"/>
              </w:rPr>
              <w:br/>
              <w:t>но не обработанные)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41318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01.49.39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D3C55" w14:textId="77777777" w:rsidR="00CF5235" w:rsidRDefault="00CF5235">
            <w:pPr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Шкуры животных невыделанные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08710" w14:textId="77777777" w:rsidR="00CF5235" w:rsidRDefault="00CF523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тыс шт (целые)</w:t>
            </w:r>
          </w:p>
        </w:tc>
      </w:tr>
    </w:tbl>
    <w:p w14:paraId="24628451" w14:textId="77777777" w:rsidR="00CF5235" w:rsidRDefault="00CF5235" w:rsidP="00CF5235"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lastRenderedPageBreak/>
        <w:t>По строке 80 указывается:</w:t>
      </w:r>
    </w:p>
    <w:p w14:paraId="727ADB88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 xml:space="preserve">для юридических лиц – средняя численность работников за отчетный год, которая определяется с учетом всех работников, в том числе работающих по гражданско-правовым договорам или по совместительству, с учетом реально отработанного времени, работников представительств, филиалов и других обособленных подразделений предприятия. Показатель заполняется </w:t>
      </w:r>
      <w:r>
        <w:rPr>
          <w:b/>
          <w:bCs/>
          <w:szCs w:val="24"/>
        </w:rPr>
        <w:t>только в целом по организации</w:t>
      </w:r>
      <w:r>
        <w:rPr>
          <w:szCs w:val="24"/>
        </w:rPr>
        <w:t>;</w:t>
      </w:r>
    </w:p>
    <w:p w14:paraId="6E44F4E1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для крестьянских (фермерских) хозяйств – средняя численность членов крестьянского (фермерского) хозяйства и наемных работников (постоянных; нанятых на определенный срок или выполнение определенного объема работ; выполняющих временную, сезонную или случайную работу);</w:t>
      </w:r>
    </w:p>
    <w:p w14:paraId="66733AF8" w14:textId="77777777" w:rsidR="00CF5235" w:rsidRDefault="00CF5235" w:rsidP="00CF5235">
      <w:pPr>
        <w:ind w:firstLine="709"/>
        <w:jc w:val="both"/>
        <w:rPr>
          <w:szCs w:val="24"/>
        </w:rPr>
      </w:pPr>
      <w:r>
        <w:rPr>
          <w:szCs w:val="24"/>
        </w:rPr>
        <w:t>для физических лиц, занимающихся предпринимательской сельскохозяйственной деятельностью без образования юридического лица – средняя численность наемных работников (постоянных; нанятых на определенный срок или выполнение определенного объема работ; выполняющих временную, сезонную или случайную работу).</w:t>
      </w:r>
    </w:p>
    <w:sectPr w:rsidR="00CF5235" w:rsidSect="005804C6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BB70" w14:textId="77777777" w:rsidR="00FB743A" w:rsidRDefault="00FB743A" w:rsidP="00CF5235">
      <w:r>
        <w:separator/>
      </w:r>
    </w:p>
  </w:endnote>
  <w:endnote w:type="continuationSeparator" w:id="0">
    <w:p w14:paraId="71AB4FE6" w14:textId="77777777" w:rsidR="00FB743A" w:rsidRDefault="00FB743A" w:rsidP="00C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3733" w14:textId="77777777" w:rsidR="00FB743A" w:rsidRDefault="00FB743A" w:rsidP="00CF5235">
      <w:r>
        <w:separator/>
      </w:r>
    </w:p>
  </w:footnote>
  <w:footnote w:type="continuationSeparator" w:id="0">
    <w:p w14:paraId="4D01E021" w14:textId="77777777" w:rsidR="00FB743A" w:rsidRDefault="00FB743A" w:rsidP="00CF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35"/>
    <w:rsid w:val="00034EEE"/>
    <w:rsid w:val="003D7613"/>
    <w:rsid w:val="004A2179"/>
    <w:rsid w:val="005670CC"/>
    <w:rsid w:val="005804C6"/>
    <w:rsid w:val="007F6EA7"/>
    <w:rsid w:val="00860B97"/>
    <w:rsid w:val="00AF0062"/>
    <w:rsid w:val="00CF523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B0B48"/>
  <w15:chartTrackingRefBased/>
  <w15:docId w15:val="{6E64BC89-2079-40FC-A03F-BB86509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523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523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Date"/>
    <w:basedOn w:val="a"/>
    <w:next w:val="a"/>
    <w:link w:val="a6"/>
    <w:semiHidden/>
    <w:unhideWhenUsed/>
    <w:rsid w:val="00CF5235"/>
    <w:rPr>
      <w:sz w:val="20"/>
    </w:rPr>
  </w:style>
  <w:style w:type="character" w:customStyle="1" w:styleId="a6">
    <w:name w:val="Дата Знак"/>
    <w:basedOn w:val="a0"/>
    <w:link w:val="a5"/>
    <w:semiHidden/>
    <w:rsid w:val="00CF523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CF523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F523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Normal0">
    <w:name w:val="Normal_0"/>
    <w:qFormat/>
    <w:rsid w:val="00CF52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">
    <w:name w:val="Text"/>
    <w:basedOn w:val="a"/>
    <w:rsid w:val="00CF5235"/>
    <w:pPr>
      <w:ind w:firstLine="709"/>
      <w:jc w:val="both"/>
    </w:pPr>
    <w:rPr>
      <w:rFonts w:eastAsia="Calibri"/>
    </w:rPr>
  </w:style>
  <w:style w:type="character" w:styleId="a7">
    <w:name w:val="footnote reference"/>
    <w:uiPriority w:val="99"/>
    <w:semiHidden/>
    <w:unhideWhenUsed/>
    <w:rsid w:val="00CF5235"/>
    <w:rPr>
      <w:vertAlign w:val="superscript"/>
    </w:rPr>
  </w:style>
  <w:style w:type="table" w:styleId="a8">
    <w:name w:val="Table Grid"/>
    <w:basedOn w:val="a1"/>
    <w:uiPriority w:val="59"/>
    <w:rsid w:val="004A2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Наталья Васильевна</dc:creator>
  <cp:keywords/>
  <dc:description/>
  <cp:lastModifiedBy>Херуимова Альбина Андреевна</cp:lastModifiedBy>
  <cp:revision>6</cp:revision>
  <dcterms:created xsi:type="dcterms:W3CDTF">2024-12-24T07:02:00Z</dcterms:created>
  <dcterms:modified xsi:type="dcterms:W3CDTF">2024-12-26T06:48:00Z</dcterms:modified>
</cp:coreProperties>
</file>